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DBE1D" w14:textId="14913FCC" w:rsidR="001E188C" w:rsidRPr="00BA28F1" w:rsidRDefault="00640405" w:rsidP="001E188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565005" w:rsidRPr="00BA28F1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565005" w:rsidRPr="00BA28F1">
        <w:rPr>
          <w:rFonts w:ascii="Times New Roman" w:hAnsi="Times New Roman" w:cs="Times New Roman"/>
        </w:rPr>
        <w:t>2</w:t>
      </w:r>
      <w:r w:rsidR="001E188C" w:rsidRPr="00BA28F1">
        <w:rPr>
          <w:rFonts w:ascii="Times New Roman" w:hAnsi="Times New Roman" w:cs="Times New Roman"/>
        </w:rPr>
        <w:t xml:space="preserve">: </w:t>
      </w:r>
      <w:r w:rsidR="001176A4" w:rsidRPr="00BA28F1">
        <w:rPr>
          <w:rFonts w:ascii="Times New Roman" w:hAnsi="Times New Roman" w:cs="Times New Roman"/>
        </w:rPr>
        <w:t>World Health Organization Anatomical Therapeutic Chemical (ATC) Classification System codes and license codes of Taiwan Food and Drug Administration (TFDA) for drug classification</w:t>
      </w:r>
    </w:p>
    <w:tbl>
      <w:tblPr>
        <w:tblStyle w:val="1"/>
        <w:tblW w:w="15209" w:type="dxa"/>
        <w:tblLook w:val="04A0" w:firstRow="1" w:lastRow="0" w:firstColumn="1" w:lastColumn="0" w:noHBand="0" w:noVBand="1"/>
      </w:tblPr>
      <w:tblGrid>
        <w:gridCol w:w="5443"/>
        <w:gridCol w:w="9766"/>
      </w:tblGrid>
      <w:tr w:rsidR="001E188C" w:rsidRPr="00BA28F1" w14:paraId="25D11B6C" w14:textId="77777777" w:rsidTr="005D0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14:paraId="1E73154F" w14:textId="77777777" w:rsidR="001E188C" w:rsidRPr="00BA28F1" w:rsidRDefault="001E188C" w:rsidP="005D035A">
            <w:pPr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Drug classification</w:t>
            </w:r>
          </w:p>
        </w:tc>
        <w:tc>
          <w:tcPr>
            <w:tcW w:w="9766" w:type="dxa"/>
            <w:tcBorders>
              <w:top w:val="single" w:sz="4" w:space="0" w:color="auto"/>
              <w:bottom w:val="single" w:sz="4" w:space="0" w:color="auto"/>
            </w:tcBorders>
          </w:tcPr>
          <w:p w14:paraId="40054912" w14:textId="77777777" w:rsidR="001E188C" w:rsidRPr="00BA28F1" w:rsidRDefault="001E188C" w:rsidP="005D0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Operational definitions</w:t>
            </w:r>
          </w:p>
        </w:tc>
      </w:tr>
      <w:tr w:rsidR="001E188C" w:rsidRPr="00BA28F1" w14:paraId="01BB55AB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top w:val="single" w:sz="4" w:space="0" w:color="auto"/>
            </w:tcBorders>
            <w:shd w:val="clear" w:color="auto" w:fill="auto"/>
          </w:tcPr>
          <w:p w14:paraId="6215B694" w14:textId="77777777" w:rsidR="001E188C" w:rsidRPr="00965C6A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9766" w:type="dxa"/>
            <w:tcBorders>
              <w:top w:val="single" w:sz="4" w:space="0" w:color="auto"/>
            </w:tcBorders>
            <w:shd w:val="clear" w:color="auto" w:fill="auto"/>
          </w:tcPr>
          <w:p w14:paraId="760A3C61" w14:textId="2514F671" w:rsidR="001E188C" w:rsidRPr="00BA28F1" w:rsidRDefault="000E7C45" w:rsidP="005D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ATC</w:t>
            </w:r>
            <w:r w:rsidR="001E188C" w:rsidRPr="00BA28F1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codes</w:t>
            </w:r>
          </w:p>
        </w:tc>
      </w:tr>
      <w:tr w:rsidR="001E188C" w:rsidRPr="00BA28F1" w14:paraId="582B0A30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0AD2417D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Metformin</w:t>
            </w:r>
          </w:p>
        </w:tc>
        <w:tc>
          <w:tcPr>
            <w:tcW w:w="9766" w:type="dxa"/>
            <w:shd w:val="clear" w:color="auto" w:fill="auto"/>
          </w:tcPr>
          <w:p w14:paraId="3F270D03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A10BA02, A10BD02, A10BD03, A10BD05, A10BD07</w:t>
            </w:r>
          </w:p>
        </w:tc>
      </w:tr>
      <w:tr w:rsidR="001E188C" w:rsidRPr="00BA28F1" w14:paraId="790A3312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0632C9C1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Sulfonylurea</w:t>
            </w:r>
          </w:p>
        </w:tc>
        <w:tc>
          <w:tcPr>
            <w:tcW w:w="9766" w:type="dxa"/>
            <w:shd w:val="clear" w:color="auto" w:fill="auto"/>
          </w:tcPr>
          <w:p w14:paraId="65729D5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A10BB, A10BD02</w:t>
            </w:r>
          </w:p>
        </w:tc>
      </w:tr>
      <w:tr w:rsidR="001E188C" w:rsidRPr="00BA28F1" w14:paraId="1693D42F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1756230A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Meglitinide</w:t>
            </w:r>
          </w:p>
        </w:tc>
        <w:tc>
          <w:tcPr>
            <w:tcW w:w="9766" w:type="dxa"/>
            <w:shd w:val="clear" w:color="auto" w:fill="auto"/>
          </w:tcPr>
          <w:p w14:paraId="5E8B06E1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A10BX02, A10BX03, A10BX08</w:t>
            </w:r>
          </w:p>
        </w:tc>
      </w:tr>
      <w:tr w:rsidR="001E188C" w:rsidRPr="00BA28F1" w14:paraId="16B1C141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403FDEE0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Acarbose</w:t>
            </w:r>
          </w:p>
        </w:tc>
        <w:tc>
          <w:tcPr>
            <w:tcW w:w="9766" w:type="dxa"/>
            <w:shd w:val="clear" w:color="auto" w:fill="auto"/>
          </w:tcPr>
          <w:p w14:paraId="6D55FC0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A10BF</w:t>
            </w:r>
          </w:p>
        </w:tc>
      </w:tr>
      <w:tr w:rsidR="001E188C" w:rsidRPr="00BA28F1" w14:paraId="095DD212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3C4F9D13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Thiazolidinedione</w:t>
            </w:r>
          </w:p>
        </w:tc>
        <w:tc>
          <w:tcPr>
            <w:tcW w:w="9766" w:type="dxa"/>
            <w:shd w:val="clear" w:color="auto" w:fill="auto"/>
          </w:tcPr>
          <w:p w14:paraId="5549C029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A10BG, A10BD03, A10BD05</w:t>
            </w:r>
          </w:p>
        </w:tc>
      </w:tr>
      <w:tr w:rsidR="001E188C" w:rsidRPr="00BA28F1" w14:paraId="19E1A9AA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6F50A29A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Dipeptidyl peptidase-4 inhibitor</w:t>
            </w:r>
          </w:p>
        </w:tc>
        <w:tc>
          <w:tcPr>
            <w:tcW w:w="9766" w:type="dxa"/>
            <w:shd w:val="clear" w:color="auto" w:fill="auto"/>
          </w:tcPr>
          <w:p w14:paraId="037AD247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A10BH, A10BD07</w:t>
            </w:r>
          </w:p>
        </w:tc>
      </w:tr>
      <w:tr w:rsidR="001E188C" w:rsidRPr="00BA28F1" w14:paraId="36D560A9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01369742" w14:textId="77777777" w:rsidR="001E188C" w:rsidRPr="0008086B" w:rsidRDefault="001E188C" w:rsidP="005D035A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  Glucagon-like peptide-1 receptor agonist</w:t>
            </w:r>
          </w:p>
        </w:tc>
        <w:tc>
          <w:tcPr>
            <w:tcW w:w="9766" w:type="dxa"/>
            <w:shd w:val="clear" w:color="auto" w:fill="auto"/>
          </w:tcPr>
          <w:p w14:paraId="265570CE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A10BJ</w:t>
            </w:r>
          </w:p>
        </w:tc>
      </w:tr>
      <w:tr w:rsidR="001E188C" w:rsidRPr="00BA28F1" w14:paraId="430AD76F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32E9FFDC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48731F">
              <w:rPr>
                <w:rFonts w:ascii="Times New Roman" w:hAnsi="Times New Roman" w:cs="Times New Roman" w:hint="eastAsia"/>
                <w:szCs w:val="24"/>
              </w:rPr>
              <w:t>α</w:t>
            </w:r>
            <w:r w:rsidRPr="0008086B">
              <w:rPr>
                <w:rFonts w:ascii="Times New Roman" w:hAnsi="Times New Roman" w:cs="Times New Roman"/>
                <w:szCs w:val="24"/>
              </w:rPr>
              <w:t>-blocker</w:t>
            </w:r>
          </w:p>
        </w:tc>
        <w:tc>
          <w:tcPr>
            <w:tcW w:w="9766" w:type="dxa"/>
            <w:shd w:val="clear" w:color="auto" w:fill="auto"/>
          </w:tcPr>
          <w:p w14:paraId="56096F97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C02CA</w:t>
            </w:r>
          </w:p>
        </w:tc>
      </w:tr>
      <w:tr w:rsidR="001E188C" w:rsidRPr="00BA28F1" w14:paraId="248D0A70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11F7A687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48731F">
              <w:rPr>
                <w:rFonts w:ascii="Times New Roman" w:hAnsi="Times New Roman" w:cs="Times New Roman" w:hint="eastAsia"/>
                <w:szCs w:val="24"/>
              </w:rPr>
              <w:t>β</w:t>
            </w:r>
            <w:r w:rsidRPr="0048731F">
              <w:rPr>
                <w:rFonts w:ascii="Times New Roman" w:hAnsi="Times New Roman" w:cs="Times New Roman"/>
                <w:szCs w:val="24"/>
              </w:rPr>
              <w:t>-</w:t>
            </w:r>
            <w:r w:rsidRPr="0008086B">
              <w:rPr>
                <w:rFonts w:ascii="Times New Roman" w:hAnsi="Times New Roman" w:cs="Times New Roman"/>
                <w:szCs w:val="24"/>
              </w:rPr>
              <w:t>blocker</w:t>
            </w:r>
          </w:p>
        </w:tc>
        <w:tc>
          <w:tcPr>
            <w:tcW w:w="9766" w:type="dxa"/>
            <w:shd w:val="clear" w:color="auto" w:fill="auto"/>
          </w:tcPr>
          <w:p w14:paraId="64BC3D6A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C07</w:t>
            </w:r>
          </w:p>
        </w:tc>
      </w:tr>
      <w:tr w:rsidR="001E188C" w:rsidRPr="00BA28F1" w14:paraId="350552B5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51D638FD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Diuretics</w:t>
            </w:r>
          </w:p>
        </w:tc>
        <w:tc>
          <w:tcPr>
            <w:tcW w:w="9766" w:type="dxa"/>
            <w:shd w:val="clear" w:color="auto" w:fill="auto"/>
          </w:tcPr>
          <w:p w14:paraId="225514A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C03</w:t>
            </w:r>
          </w:p>
        </w:tc>
      </w:tr>
      <w:tr w:rsidR="001E188C" w:rsidRPr="00BA28F1" w14:paraId="484A4A65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2842CB03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Calcium-channel blocker</w:t>
            </w:r>
          </w:p>
        </w:tc>
        <w:tc>
          <w:tcPr>
            <w:tcW w:w="9766" w:type="dxa"/>
            <w:shd w:val="clear" w:color="auto" w:fill="auto"/>
          </w:tcPr>
          <w:p w14:paraId="25730317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C08</w:t>
            </w:r>
          </w:p>
        </w:tc>
      </w:tr>
      <w:tr w:rsidR="001E188C" w:rsidRPr="00BA28F1" w14:paraId="33AA8876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6514D1A4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Renin-angiotensin-aldosterone-system agent</w:t>
            </w:r>
          </w:p>
        </w:tc>
        <w:tc>
          <w:tcPr>
            <w:tcW w:w="9766" w:type="dxa"/>
            <w:shd w:val="clear" w:color="auto" w:fill="auto"/>
          </w:tcPr>
          <w:p w14:paraId="6ABB6F5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C09</w:t>
            </w:r>
          </w:p>
        </w:tc>
      </w:tr>
      <w:tr w:rsidR="001E188C" w:rsidRPr="00BA28F1" w14:paraId="68D4E500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3041F162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Lipid-modifying agents</w:t>
            </w:r>
          </w:p>
        </w:tc>
        <w:tc>
          <w:tcPr>
            <w:tcW w:w="9766" w:type="dxa"/>
            <w:shd w:val="clear" w:color="auto" w:fill="auto"/>
          </w:tcPr>
          <w:p w14:paraId="6CD60042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C10</w:t>
            </w:r>
          </w:p>
        </w:tc>
      </w:tr>
      <w:tr w:rsidR="001E188C" w:rsidRPr="00BA28F1" w14:paraId="6F57E682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4A62291C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Digoxin</w:t>
            </w:r>
          </w:p>
        </w:tc>
        <w:tc>
          <w:tcPr>
            <w:tcW w:w="9766" w:type="dxa"/>
            <w:shd w:val="clear" w:color="auto" w:fill="auto"/>
          </w:tcPr>
          <w:p w14:paraId="32CFF788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C01AA</w:t>
            </w:r>
          </w:p>
        </w:tc>
      </w:tr>
      <w:tr w:rsidR="001E188C" w:rsidRPr="00BA28F1" w14:paraId="7099783F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1A32FBB8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Class I and III antiarrhythmics</w:t>
            </w:r>
          </w:p>
        </w:tc>
        <w:tc>
          <w:tcPr>
            <w:tcW w:w="9766" w:type="dxa"/>
            <w:shd w:val="clear" w:color="auto" w:fill="auto"/>
          </w:tcPr>
          <w:p w14:paraId="30EF8A4D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C01B</w:t>
            </w:r>
          </w:p>
        </w:tc>
      </w:tr>
      <w:tr w:rsidR="001E188C" w:rsidRPr="00BA28F1" w14:paraId="2F3583D5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4AA705A4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Vasodilators </w:t>
            </w:r>
          </w:p>
        </w:tc>
        <w:tc>
          <w:tcPr>
            <w:tcW w:w="9766" w:type="dxa"/>
            <w:shd w:val="clear" w:color="auto" w:fill="auto"/>
          </w:tcPr>
          <w:p w14:paraId="04904F0E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C01D</w:t>
            </w:r>
          </w:p>
        </w:tc>
      </w:tr>
      <w:tr w:rsidR="001E188C" w:rsidRPr="00BA28F1" w14:paraId="2D8F14F9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330F619D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Anti-platelets</w:t>
            </w:r>
          </w:p>
        </w:tc>
        <w:tc>
          <w:tcPr>
            <w:tcW w:w="9766" w:type="dxa"/>
            <w:shd w:val="clear" w:color="auto" w:fill="auto"/>
          </w:tcPr>
          <w:p w14:paraId="702098B4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B01AC</w:t>
            </w:r>
          </w:p>
        </w:tc>
      </w:tr>
      <w:tr w:rsidR="001E188C" w:rsidRPr="00BA28F1" w14:paraId="1B66B001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6524575E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Anti-coagulants</w:t>
            </w:r>
          </w:p>
        </w:tc>
        <w:tc>
          <w:tcPr>
            <w:tcW w:w="9766" w:type="dxa"/>
            <w:shd w:val="clear" w:color="auto" w:fill="auto"/>
          </w:tcPr>
          <w:p w14:paraId="3E3892DB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B01AA, B01AF</w:t>
            </w:r>
          </w:p>
        </w:tc>
      </w:tr>
      <w:tr w:rsidR="001E188C" w:rsidRPr="00BA28F1" w14:paraId="7A81E7FD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4D7AE50A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9766" w:type="dxa"/>
            <w:shd w:val="clear" w:color="auto" w:fill="auto"/>
          </w:tcPr>
          <w:p w14:paraId="7EB17FD4" w14:textId="77777777" w:rsidR="001E188C" w:rsidRPr="00BA28F1" w:rsidRDefault="001E188C" w:rsidP="005D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BA28F1">
              <w:rPr>
                <w:rFonts w:ascii="Times New Roman" w:hAnsi="Times New Roman" w:cs="Times New Roman"/>
                <w:b/>
                <w:szCs w:val="24"/>
              </w:rPr>
              <w:t>TFDA license code</w:t>
            </w:r>
          </w:p>
        </w:tc>
      </w:tr>
      <w:tr w:rsidR="001E188C" w:rsidRPr="00BA28F1" w14:paraId="2635505A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64ADDE67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Intermediate-acting human insulin</w:t>
            </w:r>
          </w:p>
          <w:p w14:paraId="7D39FB3E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(NPH, </w:t>
            </w:r>
            <w:proofErr w:type="spellStart"/>
            <w:r w:rsidRPr="0008086B">
              <w:rPr>
                <w:rFonts w:ascii="Times New Roman" w:hAnsi="Times New Roman" w:cs="Times New Roman"/>
                <w:szCs w:val="24"/>
              </w:rPr>
              <w:t>lente</w:t>
            </w:r>
            <w:proofErr w:type="spellEnd"/>
            <w:r w:rsidRPr="0008086B">
              <w:rPr>
                <w:rFonts w:ascii="Times New Roman" w:hAnsi="Times New Roman" w:cs="Times New Roman"/>
                <w:szCs w:val="24"/>
              </w:rPr>
              <w:t>, isophane insulin)</w:t>
            </w:r>
          </w:p>
        </w:tc>
        <w:tc>
          <w:tcPr>
            <w:tcW w:w="9766" w:type="dxa"/>
            <w:shd w:val="clear" w:color="auto" w:fill="auto"/>
          </w:tcPr>
          <w:p w14:paraId="346873F5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B015613, B016802, B018837, K000656, K000657, K000694, K000697, K000738, K000760, B015806, B019687, B021155, A034984, B015735, B015821, B018823, B018824, B018994, B019172, B020310, B021282, B021953, J000110</w:t>
            </w:r>
          </w:p>
        </w:tc>
      </w:tr>
      <w:tr w:rsidR="001E188C" w:rsidRPr="00BA28F1" w14:paraId="7F115E8A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66585812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 xml:space="preserve">Long-acting insulin analogue </w:t>
            </w:r>
            <w:r w:rsidRPr="0008086B">
              <w:rPr>
                <w:rFonts w:ascii="Times New Roman" w:hAnsi="Times New Roman" w:cs="Times New Roman"/>
                <w:szCs w:val="24"/>
              </w:rPr>
              <w:br/>
              <w:t>(detemir, glargine)</w:t>
            </w:r>
          </w:p>
        </w:tc>
        <w:tc>
          <w:tcPr>
            <w:tcW w:w="9766" w:type="dxa"/>
            <w:shd w:val="clear" w:color="auto" w:fill="auto"/>
          </w:tcPr>
          <w:p w14:paraId="6637A066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K000728, K000745, K000986, K000809, K000810</w:t>
            </w:r>
          </w:p>
        </w:tc>
      </w:tr>
      <w:tr w:rsidR="001E188C" w:rsidRPr="00BA28F1" w14:paraId="6D87ECC3" w14:textId="77777777" w:rsidTr="005D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shd w:val="clear" w:color="auto" w:fill="auto"/>
          </w:tcPr>
          <w:p w14:paraId="5864CD24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lastRenderedPageBreak/>
              <w:t>Short/rapid-acting insulin</w:t>
            </w:r>
            <w:r w:rsidRPr="0008086B">
              <w:rPr>
                <w:rFonts w:ascii="Times New Roman" w:hAnsi="Times New Roman" w:cs="Times New Roman"/>
                <w:szCs w:val="24"/>
              </w:rPr>
              <w:br/>
              <w:t xml:space="preserve">(regular insulin, lispro, </w:t>
            </w:r>
            <w:proofErr w:type="spellStart"/>
            <w:r w:rsidRPr="0008086B">
              <w:rPr>
                <w:rFonts w:ascii="Times New Roman" w:hAnsi="Times New Roman" w:cs="Times New Roman"/>
                <w:szCs w:val="24"/>
              </w:rPr>
              <w:t>aspart</w:t>
            </w:r>
            <w:proofErr w:type="spellEnd"/>
            <w:r w:rsidRPr="0008086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08086B">
              <w:rPr>
                <w:rFonts w:ascii="Times New Roman" w:hAnsi="Times New Roman" w:cs="Times New Roman"/>
                <w:szCs w:val="24"/>
              </w:rPr>
              <w:t>glulisine</w:t>
            </w:r>
            <w:proofErr w:type="spellEnd"/>
            <w:r w:rsidRPr="0008086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9766" w:type="dxa"/>
            <w:shd w:val="clear" w:color="auto" w:fill="auto"/>
          </w:tcPr>
          <w:p w14:paraId="2E1EC568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B015801, B020678, B018827, K000660, K000663, K000739, K000750, B015632, B016376, A034983, B015635, B018832, B018993, B019650, B020306, J000111, B019174, K000716, K000795, K000900, K000729, K000730, K000823, K000803, K000804</w:t>
            </w:r>
          </w:p>
        </w:tc>
      </w:tr>
      <w:tr w:rsidR="001E188C" w:rsidRPr="00BA28F1" w14:paraId="476250D8" w14:textId="77777777" w:rsidTr="005D035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bottom w:val="single" w:sz="4" w:space="0" w:color="auto"/>
            </w:tcBorders>
            <w:shd w:val="clear" w:color="auto" w:fill="auto"/>
          </w:tcPr>
          <w:p w14:paraId="1292E7B5" w14:textId="77777777" w:rsidR="001E188C" w:rsidRPr="0008086B" w:rsidRDefault="001E188C" w:rsidP="005D035A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08086B">
              <w:rPr>
                <w:rFonts w:ascii="Times New Roman" w:hAnsi="Times New Roman" w:cs="Times New Roman"/>
                <w:szCs w:val="24"/>
              </w:rPr>
              <w:t>Premixed insulin</w:t>
            </w:r>
          </w:p>
        </w:tc>
        <w:tc>
          <w:tcPr>
            <w:tcW w:w="9766" w:type="dxa"/>
            <w:tcBorders>
              <w:bottom w:val="single" w:sz="4" w:space="0" w:color="auto"/>
            </w:tcBorders>
            <w:shd w:val="clear" w:color="auto" w:fill="auto"/>
          </w:tcPr>
          <w:p w14:paraId="28CFCFC4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K000741, K000658, B021326, K000652, K000653, K000655, K000661, K000682, K000684, K000685, K000686, K000687, K000688, K000693, B018828, B019469, B019568, B019651, B019686, B019865, B020307, B020308, B020309, B020311, B020324, B021410, B021411, B021412, B021413, B021420, B021954, B015806, B018826, B018828, B019085, B020324, B021326, B021410, B021411, B021412, B021413, B021420, K000685, K000595, K000596, K000768, K000820, K000898, K000899, K000908, K000909</w:t>
            </w:r>
          </w:p>
        </w:tc>
      </w:tr>
    </w:tbl>
    <w:p w14:paraId="1D4CD3F1" w14:textId="234933E7" w:rsidR="00F15BEF" w:rsidRPr="00965C6A" w:rsidRDefault="00F15BEF">
      <w:pPr>
        <w:widowControl/>
        <w:rPr>
          <w:rFonts w:ascii="Times New Roman" w:eastAsia="Times New Roman Uni" w:hAnsi="Times New Roman" w:cs="Times New Roman"/>
        </w:rPr>
      </w:pPr>
      <w:bookmarkStart w:id="0" w:name="_GoBack"/>
      <w:bookmarkEnd w:id="0"/>
    </w:p>
    <w:sectPr w:rsidR="00F15BEF" w:rsidRPr="00965C6A" w:rsidSect="00F21DF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709CF" w14:textId="77777777" w:rsidR="0029461C" w:rsidRDefault="0029461C" w:rsidP="008A5D84">
      <w:r>
        <w:separator/>
      </w:r>
    </w:p>
  </w:endnote>
  <w:endnote w:type="continuationSeparator" w:id="0">
    <w:p w14:paraId="7EB7E5D2" w14:textId="77777777" w:rsidR="0029461C" w:rsidRDefault="0029461C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5CB19" w14:textId="77777777" w:rsidR="0029461C" w:rsidRDefault="0029461C" w:rsidP="008A5D84">
      <w:r>
        <w:separator/>
      </w:r>
    </w:p>
  </w:footnote>
  <w:footnote w:type="continuationSeparator" w:id="0">
    <w:p w14:paraId="1487D1B5" w14:textId="77777777" w:rsidR="0029461C" w:rsidRDefault="0029461C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461C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35F"/>
    <w:rsid w:val="004B3491"/>
    <w:rsid w:val="004B3F0E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60260A"/>
    <w:rsid w:val="00602E99"/>
    <w:rsid w:val="00603C3F"/>
    <w:rsid w:val="00610F18"/>
    <w:rsid w:val="0061233F"/>
    <w:rsid w:val="00614847"/>
    <w:rsid w:val="00616D98"/>
    <w:rsid w:val="00627042"/>
    <w:rsid w:val="006310ED"/>
    <w:rsid w:val="00633C7D"/>
    <w:rsid w:val="00637AE6"/>
    <w:rsid w:val="00640405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7D94"/>
    <w:rsid w:val="00FB1B88"/>
    <w:rsid w:val="00FB3E6B"/>
    <w:rsid w:val="00FB57E8"/>
    <w:rsid w:val="00FB6D0E"/>
    <w:rsid w:val="00FC3AE8"/>
    <w:rsid w:val="00FC599C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2BC9-42E5-B244-9232-FB8D9876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2020-03-01T11:55:00Z</dcterms:modified>
</cp:coreProperties>
</file>